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595"/>
        <w:gridCol w:w="1896"/>
        <w:gridCol w:w="1211"/>
        <w:gridCol w:w="2675"/>
        <w:gridCol w:w="4565"/>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95" w:type="dxa"/>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96" w:type="dxa"/>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11" w:type="dxa"/>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2675" w:type="dxa"/>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4565" w:type="dxa"/>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95" w:type="dxa"/>
            <w:vAlign w:val="center"/>
          </w:tcPr>
          <w:p w14:paraId="605C58E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声系统设备 第5部分：扬声器主要性能测试方法 </w:t>
            </w:r>
          </w:p>
        </w:tc>
        <w:tc>
          <w:tcPr>
            <w:tcW w:w="1896" w:type="dxa"/>
            <w:vAlign w:val="center"/>
          </w:tcPr>
          <w:p w14:paraId="0F133C2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GB/T12060.5-2011</w:t>
            </w:r>
          </w:p>
        </w:tc>
        <w:tc>
          <w:tcPr>
            <w:tcW w:w="1211" w:type="dxa"/>
            <w:vAlign w:val="center"/>
          </w:tcPr>
          <w:p w14:paraId="528AEE7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41B5C0B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本部分适用于声系统中的扬声器,完全作为无源元件来处理,不包括带内置放大器的扬声器系统。 </w:t>
            </w:r>
          </w:p>
          <w:p w14:paraId="4ACB7B9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本部分的目的是给出特性解释及使用正弦、指定噪声或脉冲信号时扬声器的相关测量方法。</w:t>
            </w:r>
          </w:p>
        </w:tc>
        <w:tc>
          <w:tcPr>
            <w:tcW w:w="4565" w:type="dxa"/>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03A3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9A8370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3595" w:type="dxa"/>
            <w:vAlign w:val="center"/>
          </w:tcPr>
          <w:p w14:paraId="3C38CF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人类工效学 无障碍设计 第3部分：产品和公共广播系统语音播报的声压级</w:t>
            </w:r>
          </w:p>
        </w:tc>
        <w:tc>
          <w:tcPr>
            <w:tcW w:w="1896" w:type="dxa"/>
            <w:vAlign w:val="center"/>
          </w:tcPr>
          <w:p w14:paraId="6464887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GB/T 44808.3-2024 </w:t>
            </w:r>
          </w:p>
        </w:tc>
        <w:tc>
          <w:tcPr>
            <w:tcW w:w="1211" w:type="dxa"/>
            <w:vAlign w:val="center"/>
          </w:tcPr>
          <w:p w14:paraId="4DEE26DB">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2025年7月1日施行</w:t>
            </w:r>
          </w:p>
        </w:tc>
        <w:tc>
          <w:tcPr>
            <w:tcW w:w="2675" w:type="dxa"/>
            <w:vAlign w:val="center"/>
          </w:tcPr>
          <w:p w14:paraId="57F7F76C">
            <w:pPr>
              <w:spacing w:line="240" w:lineRule="auto"/>
              <w:jc w:val="center"/>
              <w:rPr>
                <w:rFonts w:hint="eastAsia" w:ascii="仿宋" w:hAnsi="仿宋" w:eastAsia="仿宋" w:cs="仿宋"/>
                <w:color w:val="auto"/>
                <w:sz w:val="21"/>
                <w:szCs w:val="21"/>
                <w:highlight w:val="none"/>
                <w:vertAlign w:val="baseline"/>
              </w:rPr>
            </w:pPr>
          </w:p>
        </w:tc>
        <w:tc>
          <w:tcPr>
            <w:tcW w:w="4565" w:type="dxa"/>
            <w:vAlign w:val="center"/>
          </w:tcPr>
          <w:p w14:paraId="56EFE4AC">
            <w:pPr>
              <w:spacing w:line="240" w:lineRule="auto"/>
              <w:jc w:val="center"/>
              <w:rPr>
                <w:rFonts w:hint="eastAsia" w:ascii="仿宋" w:hAnsi="仿宋" w:eastAsia="仿宋" w:cs="仿宋"/>
                <w:color w:val="auto"/>
                <w:sz w:val="21"/>
                <w:szCs w:val="21"/>
                <w:highlight w:val="none"/>
                <w:vertAlign w:val="baseline"/>
              </w:rPr>
            </w:pPr>
          </w:p>
        </w:tc>
      </w:tr>
      <w:tr w14:paraId="7975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DB52F4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3595" w:type="dxa"/>
            <w:vAlign w:val="center"/>
          </w:tcPr>
          <w:p w14:paraId="147044E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公共广播系统工程技术标准</w:t>
            </w:r>
          </w:p>
        </w:tc>
        <w:tc>
          <w:tcPr>
            <w:tcW w:w="1896" w:type="dxa"/>
            <w:vAlign w:val="center"/>
          </w:tcPr>
          <w:p w14:paraId="7AEF9E4C">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50526-2021</w:t>
            </w:r>
          </w:p>
        </w:tc>
        <w:tc>
          <w:tcPr>
            <w:tcW w:w="1211" w:type="dxa"/>
            <w:vAlign w:val="center"/>
          </w:tcPr>
          <w:p w14:paraId="40145807">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58BB55F4">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本标准适用于新建、改建和扩建的公共广播系统电声工程部分的设计、施工、验收和运行维护。</w:t>
            </w:r>
          </w:p>
        </w:tc>
        <w:tc>
          <w:tcPr>
            <w:tcW w:w="4565" w:type="dxa"/>
            <w:vAlign w:val="center"/>
          </w:tcPr>
          <w:p w14:paraId="017DF653">
            <w:pPr>
              <w:spacing w:line="240" w:lineRule="auto"/>
              <w:jc w:val="center"/>
              <w:rPr>
                <w:rFonts w:hint="eastAsia" w:ascii="仿宋" w:hAnsi="仿宋" w:eastAsia="仿宋" w:cs="仿宋"/>
                <w:color w:val="auto"/>
                <w:sz w:val="21"/>
                <w:szCs w:val="21"/>
                <w:highlight w:val="none"/>
                <w:vertAlign w:val="baseline"/>
              </w:rPr>
            </w:pPr>
          </w:p>
        </w:tc>
      </w:tr>
      <w:tr w14:paraId="35F9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76444C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3595" w:type="dxa"/>
            <w:vAlign w:val="center"/>
          </w:tcPr>
          <w:p w14:paraId="32B3D88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FF0000"/>
                <w:sz w:val="21"/>
                <w:szCs w:val="21"/>
                <w:highlight w:val="none"/>
                <w:vertAlign w:val="baseline"/>
                <w:lang w:val="en-US" w:eastAsia="zh-CN"/>
              </w:rPr>
              <w:t>应急广播终端安装施工规范</w:t>
            </w:r>
          </w:p>
        </w:tc>
        <w:tc>
          <w:tcPr>
            <w:tcW w:w="1896" w:type="dxa"/>
            <w:vAlign w:val="center"/>
          </w:tcPr>
          <w:p w14:paraId="6BB47B6A">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DB32/T 4671-2024</w:t>
            </w:r>
          </w:p>
        </w:tc>
        <w:tc>
          <w:tcPr>
            <w:tcW w:w="1211" w:type="dxa"/>
            <w:vAlign w:val="center"/>
          </w:tcPr>
          <w:p w14:paraId="7A64939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568B971A">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本文件规定了应急广播终端安装施工的总体要求、施工程序和安全要求。</w:t>
            </w:r>
          </w:p>
        </w:tc>
        <w:tc>
          <w:tcPr>
            <w:tcW w:w="4565" w:type="dxa"/>
            <w:vAlign w:val="center"/>
          </w:tcPr>
          <w:p w14:paraId="3791A8D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江苏省市场监督管理局</w:t>
            </w:r>
            <w:r>
              <w:rPr>
                <w:rFonts w:hint="eastAsia" w:ascii="仿宋" w:hAnsi="仿宋" w:eastAsia="仿宋" w:cs="仿宋"/>
                <w:color w:val="auto"/>
                <w:sz w:val="21"/>
                <w:szCs w:val="21"/>
                <w:highlight w:val="none"/>
                <w:vertAlign w:val="baseline"/>
                <w:lang w:val="en-US" w:eastAsia="zh-CN"/>
              </w:rPr>
              <w:t>发布、2024-02-09实施</w:t>
            </w:r>
          </w:p>
        </w:tc>
      </w:tr>
      <w:tr w14:paraId="630D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F6933A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3595" w:type="dxa"/>
            <w:vAlign w:val="center"/>
          </w:tcPr>
          <w:p w14:paraId="7900D1D9">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电声产品(扬声器类)功率寿命试验仪校准规范</w:t>
            </w:r>
          </w:p>
        </w:tc>
        <w:tc>
          <w:tcPr>
            <w:tcW w:w="1896" w:type="dxa"/>
            <w:vAlign w:val="center"/>
          </w:tcPr>
          <w:p w14:paraId="2659F944">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JJF 1203-2008</w:t>
            </w:r>
          </w:p>
        </w:tc>
        <w:tc>
          <w:tcPr>
            <w:tcW w:w="1211" w:type="dxa"/>
            <w:vAlign w:val="center"/>
          </w:tcPr>
          <w:p w14:paraId="5BFD74F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5C5BB6CF">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本规范适用于电声产品(扬声器和系统)功率寿命试验仪的校准。</w:t>
            </w:r>
          </w:p>
        </w:tc>
        <w:tc>
          <w:tcPr>
            <w:tcW w:w="4565" w:type="dxa"/>
            <w:vAlign w:val="center"/>
          </w:tcPr>
          <w:p w14:paraId="2F3F0B6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 xml:space="preserve"> 国家质量监督检验检疫总局</w:t>
            </w:r>
            <w:r>
              <w:rPr>
                <w:rFonts w:hint="eastAsia" w:ascii="仿宋" w:hAnsi="仿宋" w:eastAsia="仿宋" w:cs="仿宋"/>
                <w:color w:val="auto"/>
                <w:sz w:val="21"/>
                <w:szCs w:val="21"/>
                <w:highlight w:val="none"/>
                <w:vertAlign w:val="baseline"/>
                <w:lang w:val="en-US" w:eastAsia="zh-CN"/>
              </w:rPr>
              <w:t>发布、2008-07-16实施</w:t>
            </w:r>
          </w:p>
        </w:tc>
      </w:tr>
      <w:tr w14:paraId="2591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60C16C6">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w:t>
            </w:r>
          </w:p>
        </w:tc>
        <w:tc>
          <w:tcPr>
            <w:tcW w:w="3595" w:type="dxa"/>
            <w:vAlign w:val="center"/>
          </w:tcPr>
          <w:p w14:paraId="4C719E0B">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广播收音机、广播电视接收机、磁带录音机、声频功率放大器(扩音机)的环境试验要求和试验方法</w:t>
            </w:r>
          </w:p>
        </w:tc>
        <w:tc>
          <w:tcPr>
            <w:tcW w:w="1896" w:type="dxa"/>
            <w:vAlign w:val="center"/>
          </w:tcPr>
          <w:p w14:paraId="2D6339E8">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9384-2011</w:t>
            </w:r>
          </w:p>
        </w:tc>
        <w:tc>
          <w:tcPr>
            <w:tcW w:w="1211" w:type="dxa"/>
            <w:vAlign w:val="center"/>
          </w:tcPr>
          <w:p w14:paraId="7B182DF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0DEAD42C">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本标准规定了广播收音机、广播电视接收机(包括CRT接收机、LCD接收机、PDP接收机等)、磁带录音机等音视频录放产品、声频功率放大器(扩音机)的环境试验要求及试验方法。</w:t>
            </w:r>
          </w:p>
        </w:tc>
        <w:tc>
          <w:tcPr>
            <w:tcW w:w="4565" w:type="dxa"/>
            <w:vAlign w:val="center"/>
          </w:tcPr>
          <w:p w14:paraId="148EDFB6">
            <w:pPr>
              <w:spacing w:line="240" w:lineRule="auto"/>
              <w:jc w:val="center"/>
              <w:rPr>
                <w:rFonts w:hint="eastAsia" w:ascii="仿宋" w:hAnsi="仿宋" w:eastAsia="仿宋" w:cs="仿宋"/>
                <w:color w:val="auto"/>
                <w:sz w:val="21"/>
                <w:szCs w:val="21"/>
                <w:highlight w:val="none"/>
                <w:vertAlign w:val="baseline"/>
              </w:rPr>
            </w:pPr>
          </w:p>
        </w:tc>
      </w:tr>
      <w:tr w14:paraId="238D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6D5B28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w:t>
            </w:r>
          </w:p>
        </w:tc>
        <w:tc>
          <w:tcPr>
            <w:tcW w:w="3595" w:type="dxa"/>
            <w:vAlign w:val="center"/>
          </w:tcPr>
          <w:p w14:paraId="52B4885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3C5A8DF3">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9254.1-2021</w:t>
            </w:r>
          </w:p>
        </w:tc>
        <w:tc>
          <w:tcPr>
            <w:tcW w:w="1211" w:type="dxa"/>
            <w:vAlign w:val="center"/>
          </w:tcPr>
          <w:p w14:paraId="008D7D8E">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57090E90">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本文件适用于其额定交流电压有效值或直流电压不超过600 V的信息技术设备（3.1.19)、音频设备（3.1.6)，视频设备（3.1.31)，广播接收设备（3.1.7)，娱乐灯光控制设备（3.1.14)及其组合。 </w:t>
            </w:r>
          </w:p>
          <w:p w14:paraId="23918E37">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本文件也适用于专业用途的上述设备。 </w:t>
            </w:r>
          </w:p>
          <w:p w14:paraId="20D66275">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本文件规定的发射要求不适用于ITU定义的无线电发射机产生的有意发射，也不适用于与这些有意发射相关的杂散发射。</w:t>
            </w:r>
            <w:r>
              <w:rPr>
                <w:rFonts w:hint="eastAsia" w:ascii="仿宋" w:hAnsi="仿宋" w:eastAsia="仿宋" w:cs="仿宋"/>
                <w:color w:val="auto"/>
                <w:sz w:val="21"/>
                <w:szCs w:val="21"/>
                <w:highlight w:val="none"/>
                <w:vertAlign w:val="baseline"/>
                <w:lang w:val="en-US" w:eastAsia="zh-CN"/>
              </w:rPr>
              <w:t xml:space="preserve"> </w:t>
            </w:r>
          </w:p>
          <w:p w14:paraId="46C011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在其他IEC/CISPR对应的国家标准（除了GB/T 9254和GB/T 13837)中对本文件适用频段规定了发射要求的设备，不包括在本文件的范围内。 </w:t>
            </w:r>
          </w:p>
          <w:p w14:paraId="206035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本文件不适用于现场试验。 </w:t>
            </w:r>
          </w:p>
          <w:p w14:paraId="39A518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本文件包含A级和B级设备。设备的分级见第4章的规定。 </w:t>
            </w:r>
          </w:p>
          <w:p w14:paraId="12359EF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本文件的目的： </w:t>
            </w:r>
          </w:p>
          <w:p w14:paraId="29B4E5B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a)　建立要求，为无线电频谱提供足够的保护，以保证9 kHz～400 GHz频段内的无线电业务按预期工作。 </w:t>
            </w:r>
          </w:p>
          <w:p w14:paraId="50579CC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b)　规定程序，确保测量的复现性和结果的重复性。</w:t>
            </w:r>
          </w:p>
        </w:tc>
        <w:tc>
          <w:tcPr>
            <w:tcW w:w="4565" w:type="dxa"/>
            <w:vAlign w:val="center"/>
          </w:tcPr>
          <w:p w14:paraId="6571489F">
            <w:pPr>
              <w:spacing w:line="240" w:lineRule="auto"/>
              <w:jc w:val="center"/>
              <w:rPr>
                <w:rFonts w:hint="eastAsia" w:ascii="仿宋" w:hAnsi="仿宋" w:eastAsia="仿宋" w:cs="仿宋"/>
                <w:color w:val="auto"/>
                <w:sz w:val="21"/>
                <w:szCs w:val="21"/>
                <w:highlight w:val="none"/>
                <w:vertAlign w:val="baseline"/>
              </w:rPr>
            </w:pPr>
          </w:p>
        </w:tc>
      </w:tr>
      <w:tr w14:paraId="28A7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30D553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w:t>
            </w:r>
          </w:p>
        </w:tc>
        <w:tc>
          <w:tcPr>
            <w:tcW w:w="3595" w:type="dxa"/>
            <w:vAlign w:val="center"/>
          </w:tcPr>
          <w:p w14:paraId="56C0010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第2部分：抗扰度要求 </w:t>
            </w:r>
          </w:p>
        </w:tc>
        <w:tc>
          <w:tcPr>
            <w:tcW w:w="1896" w:type="dxa"/>
            <w:vAlign w:val="center"/>
          </w:tcPr>
          <w:p w14:paraId="45F783E4">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9254.2-2021</w:t>
            </w:r>
          </w:p>
        </w:tc>
        <w:tc>
          <w:tcPr>
            <w:tcW w:w="1211" w:type="dxa"/>
            <w:vAlign w:val="center"/>
          </w:tcPr>
          <w:p w14:paraId="2F3C76D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64D2C5C2">
            <w:pPr>
              <w:spacing w:line="240" w:lineRule="auto"/>
              <w:jc w:val="left"/>
              <w:rPr>
                <w:rFonts w:hint="eastAsia" w:ascii="仿宋" w:hAnsi="仿宋" w:eastAsia="仿宋" w:cs="仿宋"/>
                <w:color w:val="auto"/>
                <w:sz w:val="21"/>
                <w:szCs w:val="21"/>
                <w:highlight w:val="none"/>
                <w:vertAlign w:val="baseline"/>
                <w:lang w:val="en-US" w:eastAsia="zh-CN"/>
              </w:rPr>
            </w:pPr>
            <w:r>
              <w:rPr>
                <w:rFonts w:ascii="Arial" w:hAnsi="Arial" w:eastAsia="宋体" w:cs="Arial"/>
                <w:color w:val="000000"/>
                <w:sz w:val="21"/>
                <w:szCs w:val="21"/>
              </w:rPr>
              <w:t xml:space="preserve">本文件适用于额定交流电压有效值或直流电压不超过600 V的信息技术设备(3.1.18)、音频设备(3.1.6)、视频设备(3.1.32)、广播接收设备(3.1.7)、娱乐灯光控制设备(3.1.14)及其组合。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本文件也适用于专业用途的上述设备。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具有广播接收功能的设备在本文件的范围内，见附录A。具有非广播无线接口的设备也在本文件的范围内，然而，无需依据本文件对这些接口性能进行评价。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在其他IEC/CISPR标准对应的国家标准(除了GB/T 9383和GB/T 17618)中对本文件适用频段规定了抗扰度要求的设备，不包括在本文件的范围内。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本文件的目的是：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——在0 Hz~400 GHz频率范围内提出要求，使EUT具有足够的抗扰度水平，能够在其使用的环境中按预期运行。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——规定程序，确保试验的复现性和结果的重复性。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由于设备功能的技术融合，性能判据基于功能而不是基于设备来确定。</w:t>
            </w:r>
          </w:p>
        </w:tc>
        <w:tc>
          <w:tcPr>
            <w:tcW w:w="4565" w:type="dxa"/>
            <w:vAlign w:val="center"/>
          </w:tcPr>
          <w:p w14:paraId="1A2ECE5F">
            <w:pPr>
              <w:spacing w:line="240" w:lineRule="auto"/>
              <w:jc w:val="center"/>
              <w:rPr>
                <w:rFonts w:hint="eastAsia" w:ascii="仿宋" w:hAnsi="仿宋" w:eastAsia="仿宋" w:cs="仿宋"/>
                <w:color w:val="auto"/>
                <w:sz w:val="21"/>
                <w:szCs w:val="21"/>
                <w:highlight w:val="none"/>
                <w:vertAlign w:val="baseline"/>
              </w:rPr>
            </w:pP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9</w:t>
            </w:r>
          </w:p>
        </w:tc>
        <w:tc>
          <w:tcPr>
            <w:tcW w:w="3595" w:type="dxa"/>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音视频、信息技术和通信技术设备 第1部分：安全要求 </w:t>
            </w:r>
          </w:p>
        </w:tc>
        <w:tc>
          <w:tcPr>
            <w:tcW w:w="1896" w:type="dxa"/>
            <w:vAlign w:val="center"/>
          </w:tcPr>
          <w:p w14:paraId="1683015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 xml:space="preserve"> GB 4943.1-2022</w:t>
            </w:r>
          </w:p>
        </w:tc>
        <w:tc>
          <w:tcPr>
            <w:tcW w:w="1211" w:type="dxa"/>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706C89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本文件规定了对音频、视频、信息技术和通信技术、商务和办公机器领域内的电气和电子设备的安全要求。不包括设备的性能或功能特性的要求。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本文件适用于额定电压不超过600V的上述电气和电子设备。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本文件也适用于：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——预定要安装在本设备中的元器件和组件。如果装有这种元器件和组件的完整设备符合本文件的要求，则这种元器件和组件就不需要符合本文件中每一条的要求；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——预定给本文件范围内的其他设备供电的外部电源单元；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——预定与本文件范围内的设备共同使用的附件；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——安装在受限制接触区内的大型设备。对具有大型机械部件的设备，可能需要附加要求；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——在热带地区使用的设备。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还适用于预定安装在室外场所的音视频、信息技术和通信技术设备。对室外设备的要求在相关时，也适用于直接安装在户外用来为要安装在户外场所的音视频、信息技术和通信技术设备提供壳体的室外外壳。具体结构要求见附录Y。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每种安装形式可能有特殊要求。另外，本文件不包含对室外设备防直击雷影响的保护要求。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除制造商另有规定外，本文件假定最高海拔为5000m。</w:t>
            </w:r>
          </w:p>
        </w:tc>
        <w:tc>
          <w:tcPr>
            <w:tcW w:w="4565" w:type="dxa"/>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56ECD5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w:t>
            </w:r>
          </w:p>
        </w:tc>
        <w:tc>
          <w:tcPr>
            <w:tcW w:w="3595" w:type="dxa"/>
            <w:vAlign w:val="center"/>
          </w:tcPr>
          <w:p w14:paraId="1AB587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电工电子产品着火危险试验 第16部分：试验火焰 50W水平与垂直火焰试验方法 </w:t>
            </w:r>
          </w:p>
        </w:tc>
        <w:tc>
          <w:tcPr>
            <w:tcW w:w="1896" w:type="dxa"/>
            <w:vAlign w:val="center"/>
          </w:tcPr>
          <w:p w14:paraId="31B16EE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 5169.16-2017</w:t>
            </w:r>
          </w:p>
        </w:tc>
        <w:tc>
          <w:tcPr>
            <w:tcW w:w="1211" w:type="dxa"/>
            <w:vAlign w:val="center"/>
          </w:tcPr>
          <w:p w14:paraId="553D3A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6034D898">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 xml:space="preserve">本部分规定了用于比较电工电子产品用不同材料的燃烧性能的小规模实验室试验程序，试验中条形试样呈水平或垂直放置，并暴露于引燃源为标称功率50W的小火焰中。该类试验方法用于确定材料的线性燃烧速率或者自熄性。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本部分的试验方法适用于固体材料和按ISO 845的方法测定时表观密度不小于250kg/m3的泡沫塑料。</w:t>
            </w:r>
          </w:p>
        </w:tc>
        <w:tc>
          <w:tcPr>
            <w:tcW w:w="4565" w:type="dxa"/>
            <w:vAlign w:val="center"/>
          </w:tcPr>
          <w:p w14:paraId="65239D7F">
            <w:pPr>
              <w:spacing w:line="240" w:lineRule="auto"/>
              <w:jc w:val="center"/>
              <w:rPr>
                <w:rFonts w:hint="eastAsia" w:ascii="仿宋" w:hAnsi="仿宋" w:eastAsia="仿宋" w:cs="仿宋"/>
                <w:color w:val="auto"/>
                <w:sz w:val="21"/>
                <w:szCs w:val="21"/>
                <w:highlight w:val="none"/>
                <w:vertAlign w:val="baseline"/>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8801C54">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95" w:type="dxa"/>
            <w:vAlign w:val="center"/>
          </w:tcPr>
          <w:p w14:paraId="437C7DA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7E729F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9254.1-2021</w:t>
            </w:r>
          </w:p>
        </w:tc>
        <w:tc>
          <w:tcPr>
            <w:tcW w:w="1211" w:type="dxa"/>
            <w:vAlign w:val="center"/>
          </w:tcPr>
          <w:p w14:paraId="7BB873D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15A8913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本文件适用于其额定交流电压有效值或直流电压不超过600 V的信息技术设备（3.1.19)、音频设备（3.1.6)，视频设备（3.1.31)，广播接收设备（3.1.7)，娱乐灯光控制设备（3.1.14)及其组合。 </w:t>
            </w:r>
          </w:p>
          <w:p w14:paraId="481FC5C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0FF7CB6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本文件规定的发射要求不适用于ITU定义的无线电发射机产生的有意发射，也不适用于与这些有意发射相关的杂散发射。 </w:t>
            </w:r>
          </w:p>
          <w:p w14:paraId="0655903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在其他IEC/CISPR对应的国家标准（除了GB/T 9254和GB/T 13837)中对本文件适用频段规定了发射要求的设备，不包括在本文件的范围内。 </w:t>
            </w:r>
          </w:p>
          <w:p w14:paraId="422358F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本文件不适用于现场试验。 </w:t>
            </w:r>
          </w:p>
          <w:p w14:paraId="602887B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本文件包含A级和B级设备。设备的分级见第4章的规定。 </w:t>
            </w:r>
          </w:p>
          <w:p w14:paraId="623108C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 </w:t>
            </w:r>
          </w:p>
          <w:p w14:paraId="584762D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a)　建立要求，为无线电频谱提供足够的保护，以保证9 kHz～400 GHz频段内的无线电业务按预期工作。 </w:t>
            </w:r>
          </w:p>
          <w:p w14:paraId="399CDD9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b)　规定程序，确保测量的复现性和结果的重复性。</w:t>
            </w:r>
          </w:p>
        </w:tc>
        <w:tc>
          <w:tcPr>
            <w:tcW w:w="4565" w:type="dxa"/>
            <w:vAlign w:val="center"/>
          </w:tcPr>
          <w:p w14:paraId="02150A8C">
            <w:pPr>
              <w:spacing w:line="240" w:lineRule="auto"/>
              <w:jc w:val="center"/>
              <w:rPr>
                <w:rFonts w:hint="eastAsia" w:ascii="仿宋" w:hAnsi="仿宋" w:eastAsia="仿宋" w:cs="仿宋"/>
                <w:color w:val="auto"/>
                <w:sz w:val="21"/>
                <w:szCs w:val="21"/>
                <w:highlight w:val="none"/>
                <w:vertAlign w:val="baseline"/>
                <w:lang w:eastAsia="zh-CN"/>
              </w:rPr>
            </w:pP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AC06BA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3595"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信息技术设备、多媒体设备和接收机 电磁兼容 第2部分：抗扰度要求 </w:t>
            </w:r>
          </w:p>
        </w:tc>
        <w:tc>
          <w:tcPr>
            <w:tcW w:w="1896"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9254.2-2021</w:t>
            </w:r>
          </w:p>
        </w:tc>
        <w:tc>
          <w:tcPr>
            <w:tcW w:w="1211"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3B665C5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本文件适用于额定交流电压有效值或直流电压不超过600 V的信息技术设备(3.1.18)、音频设备(3.1.6)、视频设备(3.1.32)、广播接收设备(3.1.7)、娱乐灯光控制设备(3.1.14)及其组合。 </w:t>
            </w:r>
          </w:p>
          <w:p w14:paraId="4497CD6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01D7270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具有广播接收功能的设备在本文件的范围内，见附录A。具有非广播无线接口的设备也在本文件的范围内，然而，无需依据本文件对这些接口性能进行评价。 </w:t>
            </w:r>
          </w:p>
          <w:p w14:paraId="7448B40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在其他IEC/CISPR标准对应的国家标准(除了GB/T 9383和GB/T 17618)中对本文件适用频段规定了抗扰度要求的设备，不包括在本文件的范围内。 </w:t>
            </w:r>
          </w:p>
          <w:p w14:paraId="5A17445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本文件的目的是： </w:t>
            </w:r>
          </w:p>
          <w:p w14:paraId="43D74E1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——在0 Hz~400 GHz频率范围内提出要求，使EUT具有足够的抗扰度水平，能够在其使用的环境中按预期运行。 </w:t>
            </w:r>
          </w:p>
          <w:p w14:paraId="1DE6F0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——规定程序，确保试验的复现性和结果的重复性。 </w:t>
            </w:r>
          </w:p>
          <w:p w14:paraId="61B0F99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由于设备功能的技术融合，性能判据基于功能而不是基于设备来确定。</w:t>
            </w:r>
          </w:p>
        </w:tc>
        <w:tc>
          <w:tcPr>
            <w:tcW w:w="4565" w:type="dxa"/>
            <w:vAlign w:val="center"/>
          </w:tcPr>
          <w:p w14:paraId="52E0C908">
            <w:pPr>
              <w:spacing w:line="240" w:lineRule="auto"/>
              <w:jc w:val="center"/>
              <w:rPr>
                <w:rFonts w:hint="eastAsia" w:ascii="仿宋" w:hAnsi="仿宋" w:eastAsia="仿宋" w:cs="仿宋"/>
                <w:color w:val="auto"/>
                <w:sz w:val="21"/>
                <w:szCs w:val="21"/>
                <w:highlight w:val="none"/>
                <w:vertAlign w:val="baseline"/>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9AD4E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13</w:t>
            </w:r>
          </w:p>
        </w:tc>
        <w:tc>
          <w:tcPr>
            <w:tcW w:w="3595" w:type="dxa"/>
            <w:vAlign w:val="center"/>
          </w:tcPr>
          <w:p w14:paraId="7CCC1A5A">
            <w:pPr>
              <w:spacing w:line="240" w:lineRule="auto"/>
              <w:jc w:val="center"/>
              <w:rPr>
                <w:rFonts w:hint="eastAsia"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rPr>
              <w:t>《厅堂、体育场馆扩声系统设计规范》</w:t>
            </w:r>
          </w:p>
        </w:tc>
        <w:tc>
          <w:tcPr>
            <w:tcW w:w="1896" w:type="dxa"/>
            <w:vAlign w:val="center"/>
          </w:tcPr>
          <w:p w14:paraId="4A0B53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GB/T 28047.1-2011</w:t>
            </w:r>
          </w:p>
        </w:tc>
        <w:tc>
          <w:tcPr>
            <w:tcW w:w="1211" w:type="dxa"/>
            <w:vAlign w:val="center"/>
          </w:tcPr>
          <w:p w14:paraId="0D4E714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18EC5682">
            <w:pPr>
              <w:spacing w:line="240" w:lineRule="auto"/>
              <w:jc w:val="center"/>
              <w:rPr>
                <w:rFonts w:hint="eastAsia" w:ascii="仿宋" w:hAnsi="仿宋" w:eastAsia="仿宋" w:cs="仿宋"/>
                <w:color w:val="auto"/>
                <w:sz w:val="21"/>
                <w:szCs w:val="21"/>
                <w:highlight w:val="none"/>
                <w:vertAlign w:val="baseline"/>
              </w:rPr>
            </w:pPr>
          </w:p>
        </w:tc>
        <w:tc>
          <w:tcPr>
            <w:tcW w:w="4565" w:type="dxa"/>
            <w:vAlign w:val="center"/>
          </w:tcPr>
          <w:p w14:paraId="635C8F26">
            <w:pPr>
              <w:spacing w:line="240" w:lineRule="auto"/>
              <w:jc w:val="center"/>
              <w:rPr>
                <w:rFonts w:hint="eastAsia" w:ascii="仿宋" w:hAnsi="仿宋" w:eastAsia="仿宋" w:cs="仿宋"/>
                <w:color w:val="auto"/>
                <w:sz w:val="21"/>
                <w:szCs w:val="21"/>
                <w:highlight w:val="none"/>
                <w:vertAlign w:val="baseline"/>
                <w:lang w:eastAsia="zh-CN"/>
              </w:rPr>
            </w:pPr>
          </w:p>
        </w:tc>
      </w:tr>
      <w:tr w14:paraId="789B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04EFBD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14</w:t>
            </w:r>
          </w:p>
        </w:tc>
        <w:tc>
          <w:tcPr>
            <w:tcW w:w="3595" w:type="dxa"/>
            <w:vAlign w:val="center"/>
          </w:tcPr>
          <w:p w14:paraId="58314238">
            <w:pPr>
              <w:spacing w:line="240" w:lineRule="auto"/>
              <w:jc w:val="center"/>
              <w:rPr>
                <w:rFonts w:hint="default"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rPr>
              <w:t>有源扬声器通用规范</w:t>
            </w:r>
          </w:p>
        </w:tc>
        <w:tc>
          <w:tcPr>
            <w:tcW w:w="1896" w:type="dxa"/>
            <w:vAlign w:val="center"/>
          </w:tcPr>
          <w:p w14:paraId="349B8D2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SJ/T 11540-2015</w:t>
            </w:r>
          </w:p>
        </w:tc>
        <w:tc>
          <w:tcPr>
            <w:tcW w:w="1211" w:type="dxa"/>
            <w:vAlign w:val="center"/>
          </w:tcPr>
          <w:p w14:paraId="0B8566A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2675" w:type="dxa"/>
            <w:vAlign w:val="center"/>
          </w:tcPr>
          <w:p w14:paraId="7BD13FC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本标准规定了消费类有源扬声器（有源音箱）的要求、试验方法、检验规则及标志、包装、运输和贮存等。适用于消费类有源扬声器（有源音箱）的设计、制造、检验和验收。</w:t>
            </w:r>
          </w:p>
        </w:tc>
        <w:tc>
          <w:tcPr>
            <w:tcW w:w="4565" w:type="dxa"/>
            <w:vAlign w:val="center"/>
          </w:tcPr>
          <w:p w14:paraId="40A60DA5">
            <w:pPr>
              <w:spacing w:line="240" w:lineRule="auto"/>
              <w:jc w:val="center"/>
              <w:rPr>
                <w:rFonts w:hint="eastAsia" w:ascii="仿宋" w:hAnsi="仿宋" w:eastAsia="仿宋" w:cs="仿宋"/>
                <w:color w:val="auto"/>
                <w:sz w:val="21"/>
                <w:szCs w:val="21"/>
                <w:highlight w:val="none"/>
                <w:vertAlign w:val="baseline"/>
                <w:lang w:eastAsia="zh-CN"/>
              </w:rPr>
            </w:pPr>
            <w:bookmarkStart w:id="0" w:name="_GoBack"/>
            <w:bookmarkEnd w:id="0"/>
          </w:p>
        </w:tc>
      </w:tr>
    </w:tbl>
    <w:p w14:paraId="0A99ECA6"/>
    <w:p w14:paraId="022BEDD6">
      <w:pPr>
        <w:rPr>
          <w:rFonts w:hint="eastAsia"/>
        </w:rPr>
      </w:pPr>
      <w:r>
        <w:rPr>
          <w:rFonts w:hint="eastAsia"/>
          <w:lang w:val="en-US" w:eastAsia="zh-CN"/>
        </w:rPr>
        <w:t>工标网</w:t>
      </w:r>
      <w:r>
        <w:rPr>
          <w:rFonts w:hint="eastAsia"/>
        </w:rPr>
        <w:fldChar w:fldCharType="begin"/>
      </w:r>
      <w:r>
        <w:rPr>
          <w:rFonts w:hint="eastAsia"/>
        </w:rPr>
        <w:instrText xml:space="preserve"> HYPERLINK "http://www.csres.com/sort/index.jsp" </w:instrText>
      </w:r>
      <w:r>
        <w:rPr>
          <w:rFonts w:hint="eastAsia"/>
        </w:rPr>
        <w:fldChar w:fldCharType="separate"/>
      </w:r>
      <w:r>
        <w:rPr>
          <w:rStyle w:val="7"/>
          <w:rFonts w:hint="eastAsia"/>
        </w:rPr>
        <w:t>http://www.csres.com/sort/index.jsp</w:t>
      </w:r>
      <w:r>
        <w:rPr>
          <w:rFonts w:hint="eastAsia"/>
        </w:rPr>
        <w:fldChar w:fldCharType="end"/>
      </w:r>
    </w:p>
    <w:p w14:paraId="60A44CFE">
      <w:pPr>
        <w:rPr>
          <w:rFonts w:hint="eastAsia"/>
        </w:rPr>
      </w:pPr>
      <w:r>
        <w:rPr>
          <w:rFonts w:hint="eastAsia"/>
        </w:rPr>
        <w:t>国家标准 - 全国标准信息公共服务平台</w:t>
      </w:r>
      <w:r>
        <w:rPr>
          <w:rFonts w:hint="eastAsia"/>
        </w:rPr>
        <w:fldChar w:fldCharType="begin"/>
      </w:r>
      <w:r>
        <w:rPr>
          <w:rFonts w:hint="eastAsia"/>
        </w:rPr>
        <w:instrText xml:space="preserve"> HYPERLINK "https://std.samr.gov.cn/" </w:instrText>
      </w:r>
      <w:r>
        <w:rPr>
          <w:rFonts w:hint="eastAsia"/>
        </w:rPr>
        <w:fldChar w:fldCharType="separate"/>
      </w:r>
      <w:r>
        <w:rPr>
          <w:rStyle w:val="7"/>
          <w:rFonts w:hint="eastAsia"/>
        </w:rPr>
        <w:t>https://std.samr.gov.cn/</w:t>
      </w:r>
      <w:r>
        <w:rPr>
          <w:rFonts w:hint="eastAsia"/>
        </w:rPr>
        <w:fldChar w:fldCharType="end"/>
      </w:r>
    </w:p>
    <w:p w14:paraId="6F100491">
      <w:pPr>
        <w:rPr>
          <w:rFonts w:hint="eastAsia"/>
        </w:rPr>
      </w:pPr>
      <w:r>
        <w:rPr>
          <w:rFonts w:hint="eastAsia"/>
          <w:lang w:val="en-US" w:eastAsia="zh-CN"/>
        </w:rPr>
        <w:t xml:space="preserve">学兔兔 </w:t>
      </w:r>
      <w:r>
        <w:rPr>
          <w:rFonts w:hint="eastAsia"/>
        </w:rPr>
        <w:t>http://www.bzfxw.com/</w:t>
      </w:r>
    </w:p>
    <w:sectPr>
      <w:pgSz w:w="16838" w:h="11906" w:orient="landscape"/>
      <w:pgMar w:top="1179"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55B0"/>
    <w:rsid w:val="005F59FE"/>
    <w:rsid w:val="02A63E9D"/>
    <w:rsid w:val="054D74B4"/>
    <w:rsid w:val="07716832"/>
    <w:rsid w:val="07A5520D"/>
    <w:rsid w:val="07E637CC"/>
    <w:rsid w:val="087A0C14"/>
    <w:rsid w:val="09B14DE6"/>
    <w:rsid w:val="0B333F1D"/>
    <w:rsid w:val="0CF313ED"/>
    <w:rsid w:val="0D5E35AE"/>
    <w:rsid w:val="0DCF4ECF"/>
    <w:rsid w:val="0E1B687E"/>
    <w:rsid w:val="0E484B44"/>
    <w:rsid w:val="0E98231D"/>
    <w:rsid w:val="106867F9"/>
    <w:rsid w:val="10FE598E"/>
    <w:rsid w:val="12715F04"/>
    <w:rsid w:val="15001CD4"/>
    <w:rsid w:val="15C8287C"/>
    <w:rsid w:val="172123D6"/>
    <w:rsid w:val="19306900"/>
    <w:rsid w:val="1D355362"/>
    <w:rsid w:val="1FBC1B14"/>
    <w:rsid w:val="202B4549"/>
    <w:rsid w:val="207672EF"/>
    <w:rsid w:val="236236D1"/>
    <w:rsid w:val="23985936"/>
    <w:rsid w:val="23AF3D0B"/>
    <w:rsid w:val="24AE744C"/>
    <w:rsid w:val="26532C71"/>
    <w:rsid w:val="289C3522"/>
    <w:rsid w:val="2A064B44"/>
    <w:rsid w:val="2DCD42C6"/>
    <w:rsid w:val="33E44A04"/>
    <w:rsid w:val="36CE3FBF"/>
    <w:rsid w:val="373B6C40"/>
    <w:rsid w:val="378A5964"/>
    <w:rsid w:val="37BA37AD"/>
    <w:rsid w:val="38963173"/>
    <w:rsid w:val="3A1D53F1"/>
    <w:rsid w:val="3A2E0BF8"/>
    <w:rsid w:val="3C065573"/>
    <w:rsid w:val="3F0D09C6"/>
    <w:rsid w:val="40453876"/>
    <w:rsid w:val="41DC133F"/>
    <w:rsid w:val="434C059B"/>
    <w:rsid w:val="43E30E9C"/>
    <w:rsid w:val="45C755B0"/>
    <w:rsid w:val="47415C9D"/>
    <w:rsid w:val="47C22C96"/>
    <w:rsid w:val="49F62138"/>
    <w:rsid w:val="4A870580"/>
    <w:rsid w:val="4C1E73C3"/>
    <w:rsid w:val="4DE43A02"/>
    <w:rsid w:val="52B85859"/>
    <w:rsid w:val="5840319A"/>
    <w:rsid w:val="5A4A5EB9"/>
    <w:rsid w:val="5AC40722"/>
    <w:rsid w:val="5B0B3B75"/>
    <w:rsid w:val="5D3C06AD"/>
    <w:rsid w:val="5E5D2FE7"/>
    <w:rsid w:val="600B4656"/>
    <w:rsid w:val="60107EBF"/>
    <w:rsid w:val="61F46F3D"/>
    <w:rsid w:val="63E43029"/>
    <w:rsid w:val="64D150F6"/>
    <w:rsid w:val="65312DB1"/>
    <w:rsid w:val="6A82366A"/>
    <w:rsid w:val="6AD14E1A"/>
    <w:rsid w:val="6C273007"/>
    <w:rsid w:val="6C8644FE"/>
    <w:rsid w:val="6DA305C4"/>
    <w:rsid w:val="6DA7731C"/>
    <w:rsid w:val="6E5E49D1"/>
    <w:rsid w:val="70805519"/>
    <w:rsid w:val="716B2509"/>
    <w:rsid w:val="734E3425"/>
    <w:rsid w:val="7B2270F9"/>
    <w:rsid w:val="7B860B19"/>
    <w:rsid w:val="7F6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FollowedHyperlink"/>
    <w:basedOn w:val="4"/>
    <w:qFormat/>
    <w:uiPriority w:val="0"/>
    <w:rPr>
      <w:color w:val="014CCC"/>
      <w:u w:val="none"/>
    </w:rPr>
  </w:style>
  <w:style w:type="character" w:styleId="7">
    <w:name w:val="Hyperlink"/>
    <w:basedOn w:val="4"/>
    <w:qFormat/>
    <w:uiPriority w:val="0"/>
    <w:rPr>
      <w:color w:val="014CC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2565</Words>
  <Characters>3120</Characters>
  <Lines>0</Lines>
  <Paragraphs>0</Paragraphs>
  <TotalTime>1</TotalTime>
  <ScaleCrop>false</ScaleCrop>
  <LinksUpToDate>false</LinksUpToDate>
  <CharactersWithSpaces>3241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2025-05-01T02:34:00Z</dcterms:created>
  <dc:creator>钱资湖畔一苇草</dc:creator>
  <cp:lastModifiedBy>彭文华</cp:lastModifiedBy>
  <dcterms:modified xsi:type="dcterms:W3CDTF">2026-06-15T06:39:16Z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9C3AF0642AC642B382FAF677D79B7E45_13</vt:lpwstr>
  </property>
  <property fmtid="{D5CDD505-2E9C-101B-9397-08002B2CF9AE}" pid="4" name="KSOTemplateDocerSaveRecord">
    <vt:lpwstr>eyJoZGlkIjoiZGJmNGVmOTkyYmRlYWVmNjNhMWY0NGViOTkzY2NlZDYiLCJ1c2VySWQiOiIxNjcxOTk3NTUzIn0=</vt:lpwstr>
  </property>
</Properties>
</file>